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Заголовок 1"/>
        <w:spacing w:before="0" w:after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Информация о реорганизации при принятии решения</w:t>
      </w:r>
    </w:p>
    <w:p>
      <w:pPr>
        <w:pStyle w:val="Заголовок 1"/>
        <w:spacing w:before="0" w:after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уполномоченного лица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органа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 реорганизации</w:t>
      </w:r>
    </w:p>
    <w:p>
      <w:pPr>
        <w:pStyle w:val="Обычный"/>
      </w:pPr>
    </w:p>
    <w:tbl>
      <w:tblPr>
        <w:tblW w:w="933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1"/>
        <w:gridCol w:w="4808"/>
      </w:tblGrid>
      <w:tr>
        <w:tblPrEx>
          <w:shd w:val="clear" w:color="auto" w:fill="ced7e7"/>
        </w:tblPrEx>
        <w:trPr>
          <w:trHeight w:val="997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Полное наименование реорганизуемого юридического лица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юридических лиц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участвующих в реорганизации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4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widowControl w:val="0"/>
              <w:spacing w:after="0" w:line="240" w:lineRule="auto"/>
              <w:ind w:firstLine="709"/>
              <w:jc w:val="both"/>
              <w:outlineLvl w:val="9"/>
            </w:pPr>
            <w:r>
              <w:rPr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rtl w:val="0"/>
                <w:lang w:val="ru-RU"/>
              </w:rPr>
              <w:t xml:space="preserve">Открытое </w:t>
            </w:r>
            <w:r>
              <w:rPr>
                <w:sz w:val="28"/>
                <w:szCs w:val="28"/>
                <w:rtl w:val="0"/>
                <w:lang w:val="ru-RU"/>
              </w:rPr>
              <w:t>акционерное общество «Гожадревобработка»</w:t>
            </w:r>
          </w:p>
        </w:tc>
      </w:tr>
      <w:tr>
        <w:tblPrEx>
          <w:shd w:val="clear" w:color="auto" w:fill="ced7e7"/>
        </w:tblPrEx>
        <w:trPr>
          <w:trHeight w:val="997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Местонахождение реорганизуемого юридического лица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юридических лиц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участвующих в реорганизации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4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widowControl w:val="0"/>
              <w:spacing w:after="0" w:line="240" w:lineRule="auto"/>
              <w:ind w:firstLine="709"/>
              <w:jc w:val="both"/>
              <w:outlineLvl w:val="9"/>
            </w:pPr>
            <w:r>
              <w:rPr>
                <w:sz w:val="28"/>
                <w:szCs w:val="28"/>
                <w:rtl w:val="0"/>
                <w:lang w:val="ru-RU"/>
              </w:rPr>
              <w:t xml:space="preserve">231741, </w:t>
            </w:r>
            <w:r>
              <w:rPr>
                <w:sz w:val="28"/>
                <w:szCs w:val="28"/>
                <w:rtl w:val="0"/>
                <w:lang w:val="ru-RU"/>
              </w:rPr>
              <w:t>Гродненская область</w:t>
            </w:r>
            <w:r>
              <w:rPr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sz w:val="28"/>
                <w:szCs w:val="28"/>
                <w:rtl w:val="0"/>
                <w:lang w:val="ru-RU"/>
              </w:rPr>
              <w:t>Гродненский район</w:t>
            </w:r>
            <w:r>
              <w:rPr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sz w:val="28"/>
                <w:szCs w:val="28"/>
                <w:rtl w:val="0"/>
                <w:lang w:val="ru-RU"/>
              </w:rPr>
              <w:t>аг</w:t>
            </w:r>
            <w:r>
              <w:rPr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sz w:val="28"/>
                <w:szCs w:val="28"/>
                <w:rtl w:val="0"/>
                <w:lang w:val="ru-RU"/>
              </w:rPr>
              <w:t>Гожа</w:t>
            </w:r>
            <w:r>
              <w:rPr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sz w:val="28"/>
                <w:szCs w:val="28"/>
                <w:rtl w:val="0"/>
                <w:lang w:val="ru-RU"/>
              </w:rPr>
              <w:t>ул</w:t>
            </w:r>
            <w:r>
              <w:rPr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sz w:val="28"/>
                <w:szCs w:val="28"/>
                <w:rtl w:val="0"/>
                <w:lang w:val="ru-RU"/>
              </w:rPr>
              <w:t xml:space="preserve">Победы </w:t>
            </w:r>
            <w:r>
              <w:rPr>
                <w:sz w:val="28"/>
                <w:szCs w:val="28"/>
                <w:rtl w:val="0"/>
                <w:lang w:val="ru-RU"/>
              </w:rPr>
              <w:t>82/2</w:t>
            </w:r>
          </w:p>
        </w:tc>
      </w:tr>
      <w:tr>
        <w:tblPrEx>
          <w:shd w:val="clear" w:color="auto" w:fill="ced7e7"/>
        </w:tblPrEx>
        <w:trPr>
          <w:trHeight w:val="997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Почтовый адрес реорганизуемого юридического лица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юридических лиц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участвующих в реорганизации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4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widowControl w:val="0"/>
              <w:spacing w:after="0" w:line="240" w:lineRule="auto"/>
              <w:ind w:firstLine="709"/>
              <w:jc w:val="both"/>
              <w:outlineLvl w:val="9"/>
            </w:pPr>
            <w:r>
              <w:rPr>
                <w:sz w:val="28"/>
                <w:szCs w:val="28"/>
                <w:rtl w:val="0"/>
                <w:lang w:val="ru-RU"/>
              </w:rPr>
              <w:t xml:space="preserve">231741, </w:t>
            </w:r>
            <w:r>
              <w:rPr>
                <w:sz w:val="28"/>
                <w:szCs w:val="28"/>
                <w:rtl w:val="0"/>
                <w:lang w:val="ru-RU"/>
              </w:rPr>
              <w:t>Гродненская область</w:t>
            </w:r>
            <w:r>
              <w:rPr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sz w:val="28"/>
                <w:szCs w:val="28"/>
                <w:rtl w:val="0"/>
                <w:lang w:val="ru-RU"/>
              </w:rPr>
              <w:t>Гродненский район</w:t>
            </w:r>
            <w:r>
              <w:rPr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sz w:val="28"/>
                <w:szCs w:val="28"/>
                <w:rtl w:val="0"/>
                <w:lang w:val="ru-RU"/>
              </w:rPr>
              <w:t>аг</w:t>
            </w:r>
            <w:r>
              <w:rPr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sz w:val="28"/>
                <w:szCs w:val="28"/>
                <w:rtl w:val="0"/>
                <w:lang w:val="ru-RU"/>
              </w:rPr>
              <w:t>Гожа</w:t>
            </w:r>
            <w:r>
              <w:rPr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sz w:val="28"/>
                <w:szCs w:val="28"/>
                <w:rtl w:val="0"/>
                <w:lang w:val="ru-RU"/>
              </w:rPr>
              <w:t>ул</w:t>
            </w:r>
            <w:r>
              <w:rPr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sz w:val="28"/>
                <w:szCs w:val="28"/>
                <w:rtl w:val="0"/>
                <w:lang w:val="ru-RU"/>
              </w:rPr>
              <w:t xml:space="preserve">Победы </w:t>
            </w:r>
            <w:r>
              <w:rPr>
                <w:sz w:val="28"/>
                <w:szCs w:val="28"/>
                <w:rtl w:val="0"/>
                <w:lang w:val="ru-RU"/>
              </w:rPr>
              <w:t>82/2</w:t>
            </w:r>
          </w:p>
        </w:tc>
      </w:tr>
      <w:tr>
        <w:tblPrEx>
          <w:shd w:val="clear" w:color="auto" w:fill="ced7e7"/>
        </w:tblPrEx>
        <w:trPr>
          <w:trHeight w:val="1278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Способ реорганизации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слияние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присоединение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разделение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выделение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преобразование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4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widowControl w:val="0"/>
              <w:spacing w:after="0" w:line="240" w:lineRule="auto"/>
              <w:ind w:firstLine="709"/>
              <w:jc w:val="both"/>
              <w:outlineLvl w:val="9"/>
            </w:pPr>
            <w:r>
              <w:rPr>
                <w:sz w:val="28"/>
                <w:szCs w:val="28"/>
                <w:rtl w:val="0"/>
                <w:lang w:val="en-US"/>
              </w:rPr>
              <w:t xml:space="preserve">Преобразование </w:t>
            </w:r>
            <w:r>
              <w:rPr>
                <w:sz w:val="28"/>
                <w:szCs w:val="28"/>
                <w:rtl w:val="0"/>
                <w:lang w:val="ru-RU"/>
              </w:rPr>
              <w:t xml:space="preserve">Открытого </w:t>
            </w:r>
            <w:r>
              <w:rPr>
                <w:sz w:val="28"/>
                <w:szCs w:val="28"/>
                <w:rtl w:val="0"/>
                <w:lang w:val="ru-RU"/>
              </w:rPr>
              <w:t>акционерно</w:t>
            </w:r>
            <w:r>
              <w:rPr>
                <w:sz w:val="28"/>
                <w:szCs w:val="28"/>
                <w:rtl w:val="0"/>
                <w:lang w:val="ru-RU"/>
              </w:rPr>
              <w:t>го</w:t>
            </w:r>
            <w:r>
              <w:rPr>
                <w:sz w:val="28"/>
                <w:szCs w:val="28"/>
                <w:rtl w:val="0"/>
                <w:lang w:val="ru-RU"/>
              </w:rPr>
              <w:t xml:space="preserve"> обществ</w:t>
            </w:r>
            <w:r>
              <w:rPr>
                <w:sz w:val="28"/>
                <w:szCs w:val="28"/>
                <w:rtl w:val="0"/>
                <w:lang w:val="ru-RU"/>
              </w:rPr>
              <w:t>а</w:t>
            </w:r>
            <w:r>
              <w:rPr>
                <w:sz w:val="28"/>
                <w:szCs w:val="28"/>
                <w:rtl w:val="0"/>
                <w:lang w:val="ru-RU"/>
              </w:rPr>
              <w:t xml:space="preserve"> «Гожадревобработка»</w:t>
            </w:r>
            <w:r>
              <w:rPr>
                <w:sz w:val="28"/>
                <w:szCs w:val="28"/>
                <w:rtl w:val="0"/>
                <w:lang w:val="ru-RU"/>
              </w:rPr>
              <w:t xml:space="preserve"> в Закрытое акционерное общество «ГРИНСАЙТ»</w:t>
            </w:r>
          </w:p>
        </w:tc>
      </w:tr>
      <w:tr>
        <w:tblPrEx>
          <w:shd w:val="clear" w:color="auto" w:fill="ced7e7"/>
        </w:tblPrEx>
        <w:trPr>
          <w:trHeight w:val="134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Наименование уполномоченного лица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органа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принявшего решение о реорганизации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дата принятия такого решения</w:t>
            </w:r>
          </w:p>
        </w:tc>
        <w:tc>
          <w:tcPr>
            <w:tcW w:type="dxa" w:w="4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widowControl w:val="0"/>
              <w:spacing w:after="0" w:line="240" w:lineRule="auto"/>
              <w:ind w:firstLine="709"/>
              <w:jc w:val="both"/>
              <w:outlineLvl w:val="9"/>
            </w:pPr>
            <w:r>
              <w:rPr>
                <w:sz w:val="28"/>
                <w:szCs w:val="28"/>
                <w:rtl w:val="0"/>
                <w:lang w:val="en-US"/>
              </w:rPr>
              <w:t xml:space="preserve">Решение </w:t>
            </w:r>
            <w:r>
              <w:rPr>
                <w:sz w:val="28"/>
                <w:szCs w:val="28"/>
                <w:rtl w:val="0"/>
                <w:lang w:val="ru-RU"/>
              </w:rPr>
              <w:t xml:space="preserve"> внеочередного общего собрания акционеров ОАО «Гожадревобработка» от </w:t>
            </w:r>
            <w:r>
              <w:rPr>
                <w:sz w:val="28"/>
                <w:szCs w:val="28"/>
                <w:rtl w:val="0"/>
                <w:lang w:val="ru-RU"/>
              </w:rPr>
              <w:t xml:space="preserve">26 </w:t>
            </w:r>
            <w:r>
              <w:rPr>
                <w:sz w:val="28"/>
                <w:szCs w:val="28"/>
                <w:rtl w:val="0"/>
                <w:lang w:val="ru-RU"/>
              </w:rPr>
              <w:t xml:space="preserve">августа </w:t>
            </w:r>
            <w:r>
              <w:rPr>
                <w:sz w:val="28"/>
                <w:szCs w:val="28"/>
                <w:rtl w:val="0"/>
                <w:lang w:val="ru-RU"/>
              </w:rPr>
              <w:t xml:space="preserve">2019 </w:t>
            </w:r>
            <w:r>
              <w:rPr>
                <w:sz w:val="28"/>
                <w:szCs w:val="28"/>
                <w:rtl w:val="0"/>
                <w:lang w:val="ru-RU"/>
              </w:rPr>
              <w:t>года</w:t>
            </w:r>
          </w:p>
        </w:tc>
      </w:tr>
      <w:tr>
        <w:tblPrEx>
          <w:shd w:val="clear" w:color="auto" w:fill="ced7e7"/>
        </w:tblPrEx>
        <w:trPr>
          <w:trHeight w:val="997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type="dxa" w:w="4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ind w:firstLine="709"/>
              <w:jc w:val="both"/>
            </w:pP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количество акций и доля в уставном фонде акционеров не изменились</w:t>
            </w:r>
          </w:p>
        </w:tc>
      </w:tr>
      <w:tr>
        <w:tblPrEx>
          <w:shd w:val="clear" w:color="auto" w:fill="ced7e7"/>
        </w:tblPrEx>
        <w:trPr>
          <w:trHeight w:val="1608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Полное наименование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местонахождение и учетный номер плательщика депозитария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которым эмитентом заключен депозитарный договор</w:t>
            </w:r>
          </w:p>
        </w:tc>
        <w:tc>
          <w:tcPr>
            <w:tcW w:type="dxa" w:w="4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ind w:firstLine="709"/>
              <w:jc w:val="both"/>
            </w:pP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Открытое  акционерное общество «Белинвестбанк»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местонахождение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220002, 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Минск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Машерова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дом 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29, 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УНП </w:t>
            </w:r>
            <w:r>
              <w:rPr>
                <w:sz w:val="28"/>
                <w:szCs w:val="28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807000028</w:t>
            </w:r>
          </w:p>
        </w:tc>
      </w:tr>
    </w:tbl>
    <w:p>
      <w:pPr>
        <w:pStyle w:val="Обычный"/>
        <w:widowControl w:val="0"/>
        <w:spacing w:line="240" w:lineRule="auto"/>
        <w:ind w:left="108" w:hanging="108"/>
      </w:pP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Заголовок 1">
    <w:name w:val="Заголовок 1"/>
    <w:next w:val="Обычный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4">
    <w:name w:val="Heading 4"/>
    <w:next w:val="Heading 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